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83" w:rsidRPr="007A76A5" w:rsidRDefault="00DD2483" w:rsidP="007A76A5">
      <w:pPr>
        <w:pStyle w:val="Estiloparrafo2"/>
        <w:spacing w:line="360" w:lineRule="auto"/>
        <w:rPr>
          <w:b/>
          <w:color w:val="auto"/>
          <w:sz w:val="36"/>
          <w:szCs w:val="36"/>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5A393C" w:rsidRDefault="002B7284"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CONCURSO PUB</w:t>
      </w:r>
      <w:r w:rsidR="00786DA7" w:rsidRPr="00680EB8">
        <w:rPr>
          <w:rFonts w:ascii="Arial" w:eastAsia="Times New Roman" w:hAnsi="Arial" w:cs="Arial"/>
          <w:b/>
          <w:sz w:val="20"/>
          <w:szCs w:val="20"/>
          <w:lang w:val="es-ES"/>
        </w:rPr>
        <w:t>LICO Nº</w:t>
      </w:r>
      <w:r w:rsidR="005F723C" w:rsidRPr="00680EB8">
        <w:rPr>
          <w:rFonts w:ascii="Arial" w:eastAsia="Times New Roman" w:hAnsi="Arial" w:cs="Arial"/>
          <w:b/>
          <w:sz w:val="20"/>
          <w:szCs w:val="20"/>
          <w:lang w:val="es-ES"/>
        </w:rPr>
        <w:t xml:space="preserve"> </w:t>
      </w:r>
      <w:r w:rsidR="005A393C">
        <w:rPr>
          <w:rFonts w:ascii="Arial" w:eastAsia="Times New Roman" w:hAnsi="Arial" w:cs="Arial"/>
          <w:b/>
          <w:sz w:val="20"/>
          <w:szCs w:val="20"/>
          <w:lang w:val="es-ES"/>
        </w:rPr>
        <w:t>026</w:t>
      </w:r>
      <w:r w:rsidR="00A90251" w:rsidRPr="00680EB8">
        <w:rPr>
          <w:rFonts w:ascii="Arial" w:eastAsia="Times New Roman" w:hAnsi="Arial" w:cs="Arial"/>
          <w:b/>
          <w:sz w:val="20"/>
          <w:szCs w:val="20"/>
          <w:lang w:val="es-ES"/>
        </w:rPr>
        <w:t>-202</w:t>
      </w:r>
      <w:r w:rsidR="00310557" w:rsidRPr="00680EB8">
        <w:rPr>
          <w:rFonts w:ascii="Arial" w:eastAsia="Times New Roman" w:hAnsi="Arial" w:cs="Arial"/>
          <w:b/>
          <w:sz w:val="20"/>
          <w:szCs w:val="20"/>
          <w:lang w:val="es-ES"/>
        </w:rPr>
        <w:t>1</w:t>
      </w:r>
      <w:r w:rsidR="00680EB8">
        <w:rPr>
          <w:rFonts w:ascii="Arial" w:eastAsia="Times New Roman" w:hAnsi="Arial" w:cs="Arial"/>
          <w:b/>
          <w:sz w:val="20"/>
          <w:szCs w:val="20"/>
          <w:lang w:val="es-ES"/>
        </w:rPr>
        <w:t xml:space="preserve">-FSLG/CS – </w:t>
      </w:r>
      <w:r w:rsidR="00A90251" w:rsidRPr="00680EB8">
        <w:rPr>
          <w:rFonts w:ascii="Arial" w:eastAsia="Times New Roman" w:hAnsi="Arial" w:cs="Arial"/>
          <w:b/>
          <w:sz w:val="20"/>
          <w:szCs w:val="20"/>
          <w:lang w:val="es-ES"/>
        </w:rPr>
        <w:t>PRIMERA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para la</w:t>
      </w:r>
      <w:r w:rsidR="00CF75EC"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 xml:space="preserve">Contratación del servicio de Consultoría para la Supervisión de Obra: </w:t>
      </w:r>
      <w:r w:rsidR="005A393C" w:rsidRPr="005A393C">
        <w:rPr>
          <w:rFonts w:ascii="Arial" w:hAnsi="Arial" w:cs="Arial"/>
          <w:b/>
          <w:color w:val="000000" w:themeColor="text1"/>
          <w:sz w:val="20"/>
          <w:szCs w:val="18"/>
        </w:rPr>
        <w:t>“MEJORAMIENTO DE LA CARRETERA LA GRANJA – PARIAMARCA, DISTRITO DE QUEROCOTO, PROVINCIA DE CHOTA, DEPARTAMENTO DE CAJAMARCA”</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C35E0A" w:rsidRDefault="00C35E0A"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680EB8" w:rsidRPr="00680EB8">
        <w:rPr>
          <w:rFonts w:ascii="Arial" w:hAnsi="Arial" w:cs="Arial"/>
          <w:b/>
          <w:color w:val="000000" w:themeColor="text1"/>
          <w:sz w:val="20"/>
          <w:szCs w:val="18"/>
        </w:rPr>
        <w:t xml:space="preserve">servicio de Consultoría para la Supervisión de Obra: </w:t>
      </w:r>
      <w:r w:rsidR="00D30E63" w:rsidRPr="005A393C">
        <w:rPr>
          <w:rFonts w:ascii="Arial" w:hAnsi="Arial" w:cs="Arial"/>
          <w:b/>
          <w:color w:val="000000" w:themeColor="text1"/>
          <w:sz w:val="20"/>
          <w:szCs w:val="18"/>
        </w:rPr>
        <w:t>“MEJORAMIENTO DE LA CARRETERA LA GRANJA – PARIAMARCA, DISTRITO DE QUEROCOTO, PROVINCIA DE CHOTA, DEPARTAMENTO DE CAJAMARCA”</w:t>
      </w:r>
      <w:r w:rsidR="00D30E63">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014D64" w:rsidRDefault="00014D64" w:rsidP="009C4860">
      <w:pPr>
        <w:widowControl w:val="0"/>
        <w:spacing w:after="0" w:line="240" w:lineRule="auto"/>
        <w:jc w:val="center"/>
        <w:rPr>
          <w:rFonts w:ascii="Arial" w:eastAsia="Batang" w:hAnsi="Arial" w:cs="Arial"/>
          <w:b/>
          <w:color w:val="000000"/>
          <w:szCs w:val="20"/>
          <w:lang w:eastAsia="es-PE"/>
        </w:rPr>
      </w:pPr>
    </w:p>
    <w:p w:rsidR="00014D64" w:rsidRDefault="00014D64" w:rsidP="009C4860">
      <w:pPr>
        <w:widowControl w:val="0"/>
        <w:spacing w:after="0" w:line="240" w:lineRule="auto"/>
        <w:jc w:val="center"/>
        <w:rPr>
          <w:rFonts w:ascii="Arial" w:eastAsia="Batang" w:hAnsi="Arial" w:cs="Arial"/>
          <w:b/>
          <w:color w:val="000000"/>
          <w:szCs w:val="20"/>
          <w:lang w:eastAsia="es-PE"/>
        </w:rPr>
      </w:pPr>
    </w:p>
    <w:p w:rsidR="00014D64" w:rsidRDefault="00014D64"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B35BC1" w:rsidRPr="00B35BC1">
        <w:rPr>
          <w:rFonts w:ascii="Arial" w:eastAsia="Batang" w:hAnsi="Arial" w:cs="Arial"/>
          <w:b/>
          <w:color w:val="000000"/>
          <w:sz w:val="20"/>
          <w:szCs w:val="20"/>
          <w:lang w:eastAsia="es-PE"/>
        </w:rPr>
        <w:t>CONSULTORÍA DE SUPERVISIÓN DE OBRA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4E1660" w:rsidRPr="008B5746"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4E1660" w:rsidRPr="008B5746"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B95228" w:rsidRDefault="00B95228" w:rsidP="009C4860">
      <w:pPr>
        <w:widowControl w:val="0"/>
        <w:spacing w:after="0" w:line="240" w:lineRule="auto"/>
        <w:jc w:val="center"/>
        <w:rPr>
          <w:rFonts w:ascii="Arial" w:eastAsia="Batang" w:hAnsi="Arial" w:cs="Arial"/>
          <w:b/>
          <w:szCs w:val="20"/>
          <w:lang w:eastAsia="es-PE"/>
        </w:rPr>
      </w:pPr>
    </w:p>
    <w:p w:rsidR="008F6BA1" w:rsidRPr="009C4860" w:rsidRDefault="008F6BA1" w:rsidP="009C4860">
      <w:pPr>
        <w:widowControl w:val="0"/>
        <w:spacing w:after="0" w:line="240" w:lineRule="auto"/>
        <w:jc w:val="center"/>
        <w:rPr>
          <w:rFonts w:ascii="Arial" w:eastAsia="Batang" w:hAnsi="Arial" w:cs="Arial"/>
          <w:b/>
          <w:szCs w:val="20"/>
          <w:lang w:eastAsia="es-PE"/>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w:t>
      </w:r>
      <w:r w:rsidR="00666901">
        <w:rPr>
          <w:rFonts w:ascii="Arial" w:hAnsi="Arial" w:cs="Arial"/>
          <w:b/>
          <w:sz w:val="20"/>
        </w:rPr>
        <w:t>SEPERVISIÓN</w:t>
      </w:r>
      <w:r>
        <w:rPr>
          <w:rFonts w:ascii="Arial" w:hAnsi="Arial" w:cs="Arial"/>
          <w:b/>
          <w:sz w:val="20"/>
        </w:rPr>
        <w:t xml:space="preserve"> DE </w:t>
      </w:r>
      <w:r w:rsidRPr="00C36986">
        <w:rPr>
          <w:rFonts w:ascii="Arial" w:hAnsi="Arial" w:cs="Arial"/>
          <w:b/>
          <w:sz w:val="20"/>
        </w:rPr>
        <w:t>OBRA</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B6553A">
        <w:trPr>
          <w:trHeight w:val="616"/>
        </w:trPr>
        <w:tc>
          <w:tcPr>
            <w:tcW w:w="1980"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B6553A">
            <w:pPr>
              <w:widowControl w:val="0"/>
              <w:jc w:val="center"/>
              <w:rPr>
                <w:rFonts w:ascii="Arial" w:hAnsi="Arial" w:cs="Arial"/>
                <w:b/>
                <w:sz w:val="18"/>
              </w:rPr>
            </w:pPr>
            <w:r>
              <w:rPr>
                <w:rFonts w:ascii="Arial" w:hAnsi="Arial" w:cs="Arial"/>
                <w:b/>
                <w:sz w:val="18"/>
              </w:rPr>
              <w:t>TIEMPO DE EXPERIENCIA</w:t>
            </w:r>
          </w:p>
          <w:p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c>
          <w:tcPr>
            <w:tcW w:w="1418" w:type="dxa"/>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r>
      <w:tr w:rsidR="008F6BA1" w:rsidRPr="00C86FD9"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c>
          <w:tcPr>
            <w:tcW w:w="1418" w:type="dxa"/>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B6553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B6553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Default="008F6BA1" w:rsidP="008F6BA1">
      <w:pPr>
        <w:widowControl w:val="0"/>
        <w:spacing w:after="0" w:line="240" w:lineRule="auto"/>
        <w:jc w:val="both"/>
        <w:rPr>
          <w:rFonts w:ascii="Arial" w:eastAsia="Batang" w:hAnsi="Arial" w:cs="Arial"/>
          <w:color w:val="000000"/>
          <w:sz w:val="20"/>
          <w:szCs w:val="20"/>
          <w:lang w:eastAsia="es-PE"/>
        </w:rPr>
      </w:pPr>
    </w:p>
    <w:p w:rsidR="00CE36F7" w:rsidRPr="009C4860" w:rsidRDefault="00CE36F7" w:rsidP="008F6BA1">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E45303" w:rsidRPr="008B5746"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00680EB8" w:rsidRPr="00680EB8">
        <w:rPr>
          <w:rFonts w:ascii="Arial" w:hAnsi="Arial" w:cs="Arial"/>
          <w:b/>
          <w:color w:val="000000" w:themeColor="text1"/>
          <w:sz w:val="20"/>
          <w:szCs w:val="18"/>
        </w:rPr>
        <w:t xml:space="preserve">Consultoría para la Supervisión de Obra: </w:t>
      </w:r>
      <w:r w:rsidR="00D30E63" w:rsidRPr="005A393C">
        <w:rPr>
          <w:rFonts w:ascii="Arial" w:hAnsi="Arial" w:cs="Arial"/>
          <w:b/>
          <w:color w:val="000000" w:themeColor="text1"/>
          <w:sz w:val="20"/>
          <w:szCs w:val="18"/>
        </w:rPr>
        <w:t>“MEJORAMIENTO DE LA CARRETERA LA GRANJA – PARIAMARCA, DISTRITO DE QUEROCOTO, PROVINCIA DE CHOTA, DEPARTAMENTO DE CAJAMARCA”</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8B5746" w:rsidRDefault="008B5746" w:rsidP="009B324F">
      <w:pPr>
        <w:widowControl w:val="0"/>
        <w:autoSpaceDE w:val="0"/>
        <w:autoSpaceDN w:val="0"/>
        <w:adjustRightInd w:val="0"/>
        <w:spacing w:after="0" w:line="240" w:lineRule="auto"/>
        <w:jc w:val="both"/>
        <w:rPr>
          <w:rFonts w:ascii="Arial" w:hAnsi="Arial" w:cs="Arial"/>
          <w:sz w:val="2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4E1660" w:rsidRPr="008B5746"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5746" w:rsidRPr="005A393C" w:rsidRDefault="008B5746" w:rsidP="008B5746">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026</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5A393C">
        <w:rPr>
          <w:rFonts w:ascii="Arial" w:hAnsi="Arial" w:cs="Arial"/>
          <w:b/>
          <w:color w:val="000000" w:themeColor="text1"/>
          <w:sz w:val="20"/>
          <w:szCs w:val="18"/>
        </w:rPr>
        <w:t>“MEJORAMIENTO DE LA CARRETERA LA GRANJA – PARIAMARCA, DISTRITO DE QUEROCOTO, PROVINCIA DE CHOTA, DEPARTAMENTO DE CAJAMARCA”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E85" w:rsidRDefault="00267E85" w:rsidP="009C4860">
      <w:pPr>
        <w:spacing w:after="0" w:line="240" w:lineRule="auto"/>
      </w:pPr>
      <w:r>
        <w:separator/>
      </w:r>
    </w:p>
  </w:endnote>
  <w:endnote w:type="continuationSeparator" w:id="0">
    <w:p w:rsidR="00267E85" w:rsidRDefault="00267E8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0F6A09" w:rsidRDefault="00B6553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B6553A" w:rsidRPr="000F6A09" w:rsidRDefault="00B6553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1802FF" w:rsidRDefault="00B6553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716B1" w:rsidRPr="00F716B1">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B6553A" w:rsidRPr="001802FF" w:rsidRDefault="00B6553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716B1" w:rsidRPr="00F716B1">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rsidR="00B6553A" w:rsidRDefault="00B6553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E85" w:rsidRDefault="00267E85" w:rsidP="009C4860">
      <w:pPr>
        <w:spacing w:after="0" w:line="240" w:lineRule="auto"/>
      </w:pPr>
      <w:r>
        <w:separator/>
      </w:r>
    </w:p>
  </w:footnote>
  <w:footnote w:type="continuationSeparator" w:id="0">
    <w:p w:rsidR="00267E85" w:rsidRDefault="00267E85" w:rsidP="009C4860">
      <w:pPr>
        <w:spacing w:after="0" w:line="240" w:lineRule="auto"/>
      </w:pPr>
      <w:r>
        <w:continuationSeparator/>
      </w:r>
    </w:p>
  </w:footnote>
  <w:footnote w:id="1">
    <w:p w:rsidR="00B6553A" w:rsidRDefault="00B6553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B6553A" w:rsidRPr="00F04A6F" w:rsidRDefault="00B6553A" w:rsidP="009C4860">
      <w:pPr>
        <w:pStyle w:val="Textonotapie"/>
        <w:rPr>
          <w:rFonts w:ascii="Arial" w:hAnsi="Arial" w:cs="Arial"/>
          <w:sz w:val="16"/>
          <w:szCs w:val="16"/>
        </w:rPr>
      </w:pPr>
    </w:p>
  </w:footnote>
  <w:footnote w:id="2">
    <w:p w:rsidR="00B6553A" w:rsidRDefault="00B6553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B6553A" w:rsidRPr="00F04A6F" w:rsidRDefault="00B6553A" w:rsidP="009C4860">
      <w:pPr>
        <w:pStyle w:val="Textonotapie"/>
        <w:rPr>
          <w:rFonts w:ascii="Arial" w:hAnsi="Arial" w:cs="Arial"/>
          <w:sz w:val="16"/>
          <w:szCs w:val="16"/>
        </w:rPr>
      </w:pPr>
    </w:p>
  </w:footnote>
  <w:footnote w:id="3">
    <w:p w:rsidR="00B6553A" w:rsidRPr="00B06C98" w:rsidRDefault="00B6553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B6553A" w:rsidRPr="00F3347B" w:rsidRDefault="00B6553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B6553A" w:rsidRPr="00510E7A" w:rsidRDefault="00B6553A" w:rsidP="00E45303">
      <w:pPr>
        <w:pStyle w:val="Textonotapie"/>
        <w:ind w:left="284" w:hanging="284"/>
        <w:jc w:val="both"/>
        <w:rPr>
          <w:rFonts w:ascii="Arial" w:hAnsi="Arial" w:cs="Arial"/>
          <w:sz w:val="16"/>
          <w:szCs w:val="16"/>
        </w:rPr>
      </w:pPr>
    </w:p>
  </w:footnote>
  <w:footnote w:id="5">
    <w:p w:rsidR="00B6553A" w:rsidRPr="005628EB"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6">
    <w:p w:rsidR="00B6553A" w:rsidRPr="005628EB" w:rsidRDefault="00B6553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7">
    <w:p w:rsidR="00B6553A" w:rsidRPr="005628EB"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8">
    <w:p w:rsidR="00B6553A" w:rsidRPr="00510E7A"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B6553A" w:rsidRPr="00510E7A" w:rsidRDefault="00B6553A" w:rsidP="009B324F">
      <w:pPr>
        <w:pStyle w:val="Textonotapie"/>
        <w:tabs>
          <w:tab w:val="left" w:pos="300"/>
        </w:tabs>
        <w:ind w:left="301" w:hanging="301"/>
        <w:jc w:val="both"/>
        <w:rPr>
          <w:rFonts w:ascii="Arial" w:hAnsi="Arial" w:cs="Arial"/>
          <w:sz w:val="16"/>
          <w:szCs w:val="16"/>
        </w:rPr>
      </w:pPr>
    </w:p>
  </w:footnote>
  <w:footnote w:id="9">
    <w:p w:rsidR="00B6553A" w:rsidRPr="00510E7A" w:rsidRDefault="00B6553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BE00DC" w:rsidRDefault="00B6553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B6553A" w:rsidRPr="00116925" w:rsidRDefault="00B6553A" w:rsidP="000F4027">
    <w:pPr>
      <w:jc w:val="both"/>
      <w:rPr>
        <w:rFonts w:ascii="Arial" w:hAnsi="Arial" w:cs="Arial"/>
        <w:i/>
        <w:sz w:val="18"/>
        <w:highlight w:val="lightGray"/>
      </w:rPr>
    </w:pPr>
  </w:p>
  <w:p w:rsidR="00B6553A" w:rsidRDefault="00B6553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7A76A5" w:rsidRDefault="00B6553A"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306705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D0107"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24.15pt" to="486.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B6553A" w:rsidRPr="007A76A5" w:rsidRDefault="00B6553A"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026-2021-FSLG/CS – PRIMER</w:t>
                          </w:r>
                          <w:r w:rsidRPr="007A76A5">
                            <w:rPr>
                              <w:rFonts w:ascii="Arial" w:hAnsi="Arial" w:cs="Arial"/>
                              <w:b/>
                              <w:i/>
                              <w:sz w:val="18"/>
                              <w:szCs w:val="18"/>
                            </w:rPr>
                            <w:t>A CONVOCATORIA</w:t>
                          </w:r>
                        </w:p>
                        <w:p w:rsidR="00B6553A" w:rsidRPr="000F6522" w:rsidRDefault="00B6553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 la carretera La Granja – Pariamarca, Distrito de Querocoto, Provincia de Chota, Departamento de Cajamarca”</w:t>
                          </w:r>
                        </w:p>
                        <w:p w:rsidR="00B6553A" w:rsidRPr="000F6522" w:rsidRDefault="00B6553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B6553A" w:rsidRPr="007A76A5" w:rsidRDefault="00B6553A"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026-2021-FSLG/CS – PRIMER</w:t>
                    </w:r>
                    <w:r w:rsidRPr="007A76A5">
                      <w:rPr>
                        <w:rFonts w:ascii="Arial" w:hAnsi="Arial" w:cs="Arial"/>
                        <w:b/>
                        <w:i/>
                        <w:sz w:val="18"/>
                        <w:szCs w:val="18"/>
                      </w:rPr>
                      <w:t>A CONVOCATORIA</w:t>
                    </w:r>
                  </w:p>
                  <w:p w:rsidR="00B6553A" w:rsidRPr="000F6522" w:rsidRDefault="00B6553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 la carretera La Granja – Pariamarca, Distrito de Querocoto, Provincia de Chota, Departamento de Cajamarca”</w:t>
                    </w:r>
                  </w:p>
                  <w:p w:rsidR="00B6553A" w:rsidRPr="000F6522" w:rsidRDefault="00B6553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6D038"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4404"/>
    <w:rsid w:val="00010F2E"/>
    <w:rsid w:val="00011806"/>
    <w:rsid w:val="00013424"/>
    <w:rsid w:val="00014D64"/>
    <w:rsid w:val="00016882"/>
    <w:rsid w:val="00020119"/>
    <w:rsid w:val="00026434"/>
    <w:rsid w:val="00031D67"/>
    <w:rsid w:val="0003739B"/>
    <w:rsid w:val="00037EA9"/>
    <w:rsid w:val="00041A05"/>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C07"/>
    <w:rsid w:val="00127740"/>
    <w:rsid w:val="00127944"/>
    <w:rsid w:val="0013413D"/>
    <w:rsid w:val="00137443"/>
    <w:rsid w:val="00141E7B"/>
    <w:rsid w:val="0014235F"/>
    <w:rsid w:val="00145884"/>
    <w:rsid w:val="00146977"/>
    <w:rsid w:val="001527F8"/>
    <w:rsid w:val="00165579"/>
    <w:rsid w:val="00166942"/>
    <w:rsid w:val="00172197"/>
    <w:rsid w:val="00174ED0"/>
    <w:rsid w:val="00180EE5"/>
    <w:rsid w:val="00184A16"/>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76A4"/>
    <w:rsid w:val="001F23D2"/>
    <w:rsid w:val="001F3B59"/>
    <w:rsid w:val="001F4876"/>
    <w:rsid w:val="001F5F2C"/>
    <w:rsid w:val="002030C8"/>
    <w:rsid w:val="00210152"/>
    <w:rsid w:val="002121D6"/>
    <w:rsid w:val="002140A7"/>
    <w:rsid w:val="002140F4"/>
    <w:rsid w:val="00214967"/>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67E85"/>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7E81"/>
    <w:rsid w:val="00305B0D"/>
    <w:rsid w:val="00310557"/>
    <w:rsid w:val="00314175"/>
    <w:rsid w:val="00315201"/>
    <w:rsid w:val="00316269"/>
    <w:rsid w:val="00320EA6"/>
    <w:rsid w:val="003229D7"/>
    <w:rsid w:val="00330802"/>
    <w:rsid w:val="00331152"/>
    <w:rsid w:val="00332B57"/>
    <w:rsid w:val="0033337F"/>
    <w:rsid w:val="00337B80"/>
    <w:rsid w:val="00342B2F"/>
    <w:rsid w:val="00347A04"/>
    <w:rsid w:val="00347D3F"/>
    <w:rsid w:val="00350B74"/>
    <w:rsid w:val="00351793"/>
    <w:rsid w:val="00353FFB"/>
    <w:rsid w:val="00356498"/>
    <w:rsid w:val="003670CA"/>
    <w:rsid w:val="00370198"/>
    <w:rsid w:val="00370FC2"/>
    <w:rsid w:val="0037138B"/>
    <w:rsid w:val="00373624"/>
    <w:rsid w:val="003738C2"/>
    <w:rsid w:val="0037783C"/>
    <w:rsid w:val="003829B0"/>
    <w:rsid w:val="003902F3"/>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7A28"/>
    <w:rsid w:val="00400FC4"/>
    <w:rsid w:val="00404078"/>
    <w:rsid w:val="00405EC2"/>
    <w:rsid w:val="00415687"/>
    <w:rsid w:val="00422A8A"/>
    <w:rsid w:val="0042462B"/>
    <w:rsid w:val="00424CC2"/>
    <w:rsid w:val="00425076"/>
    <w:rsid w:val="004312FF"/>
    <w:rsid w:val="00432405"/>
    <w:rsid w:val="00463972"/>
    <w:rsid w:val="004663A1"/>
    <w:rsid w:val="00466523"/>
    <w:rsid w:val="004804D0"/>
    <w:rsid w:val="00484EEC"/>
    <w:rsid w:val="004858EE"/>
    <w:rsid w:val="00485E0A"/>
    <w:rsid w:val="0048649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5D16"/>
    <w:rsid w:val="004F0F06"/>
    <w:rsid w:val="00504899"/>
    <w:rsid w:val="005053F6"/>
    <w:rsid w:val="00505BE4"/>
    <w:rsid w:val="00512F7B"/>
    <w:rsid w:val="0051541B"/>
    <w:rsid w:val="00523C1D"/>
    <w:rsid w:val="00524706"/>
    <w:rsid w:val="005253D2"/>
    <w:rsid w:val="00527C65"/>
    <w:rsid w:val="005303C6"/>
    <w:rsid w:val="00530FA2"/>
    <w:rsid w:val="005312D3"/>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900B6"/>
    <w:rsid w:val="00690DC5"/>
    <w:rsid w:val="00690FFE"/>
    <w:rsid w:val="00692DB5"/>
    <w:rsid w:val="006A4514"/>
    <w:rsid w:val="006A5C16"/>
    <w:rsid w:val="006B198E"/>
    <w:rsid w:val="006B3C1E"/>
    <w:rsid w:val="006B4242"/>
    <w:rsid w:val="006B7985"/>
    <w:rsid w:val="006C24B1"/>
    <w:rsid w:val="006C3249"/>
    <w:rsid w:val="006C3F05"/>
    <w:rsid w:val="006D00DA"/>
    <w:rsid w:val="006D029B"/>
    <w:rsid w:val="006D1085"/>
    <w:rsid w:val="006D2EF3"/>
    <w:rsid w:val="006D5BC0"/>
    <w:rsid w:val="006D739D"/>
    <w:rsid w:val="006E6D33"/>
    <w:rsid w:val="006F0116"/>
    <w:rsid w:val="006F2991"/>
    <w:rsid w:val="006F589B"/>
    <w:rsid w:val="006F7FD7"/>
    <w:rsid w:val="007003E2"/>
    <w:rsid w:val="00703CD8"/>
    <w:rsid w:val="00704DC8"/>
    <w:rsid w:val="00706CF3"/>
    <w:rsid w:val="007072FC"/>
    <w:rsid w:val="007121C9"/>
    <w:rsid w:val="0071291C"/>
    <w:rsid w:val="007153D7"/>
    <w:rsid w:val="00717177"/>
    <w:rsid w:val="00724231"/>
    <w:rsid w:val="00724C94"/>
    <w:rsid w:val="00735FD5"/>
    <w:rsid w:val="00736C13"/>
    <w:rsid w:val="007376C9"/>
    <w:rsid w:val="00745ED3"/>
    <w:rsid w:val="0074608A"/>
    <w:rsid w:val="00750955"/>
    <w:rsid w:val="00764874"/>
    <w:rsid w:val="00766391"/>
    <w:rsid w:val="00773148"/>
    <w:rsid w:val="0077394D"/>
    <w:rsid w:val="00786DA7"/>
    <w:rsid w:val="00787FA3"/>
    <w:rsid w:val="00794994"/>
    <w:rsid w:val="00795AE4"/>
    <w:rsid w:val="007A20A0"/>
    <w:rsid w:val="007A25C2"/>
    <w:rsid w:val="007A4DAD"/>
    <w:rsid w:val="007A76A5"/>
    <w:rsid w:val="007B1117"/>
    <w:rsid w:val="007B2DD3"/>
    <w:rsid w:val="007B7C9D"/>
    <w:rsid w:val="007C0DF2"/>
    <w:rsid w:val="007C70D4"/>
    <w:rsid w:val="007D09D4"/>
    <w:rsid w:val="007D1994"/>
    <w:rsid w:val="007D3A0D"/>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43A0B"/>
    <w:rsid w:val="00852782"/>
    <w:rsid w:val="00852814"/>
    <w:rsid w:val="008555FB"/>
    <w:rsid w:val="00861DDE"/>
    <w:rsid w:val="0086269D"/>
    <w:rsid w:val="00866FE9"/>
    <w:rsid w:val="008710AE"/>
    <w:rsid w:val="008728F3"/>
    <w:rsid w:val="00872C44"/>
    <w:rsid w:val="00873761"/>
    <w:rsid w:val="0087753C"/>
    <w:rsid w:val="00882C30"/>
    <w:rsid w:val="00890650"/>
    <w:rsid w:val="008925F9"/>
    <w:rsid w:val="00896A2C"/>
    <w:rsid w:val="00896ADF"/>
    <w:rsid w:val="008A0387"/>
    <w:rsid w:val="008A2AB1"/>
    <w:rsid w:val="008A3A85"/>
    <w:rsid w:val="008A54FC"/>
    <w:rsid w:val="008B11FA"/>
    <w:rsid w:val="008B208A"/>
    <w:rsid w:val="008B3263"/>
    <w:rsid w:val="008B5746"/>
    <w:rsid w:val="008C0514"/>
    <w:rsid w:val="008C0DBD"/>
    <w:rsid w:val="008D0252"/>
    <w:rsid w:val="008D1F87"/>
    <w:rsid w:val="008D528E"/>
    <w:rsid w:val="008D5B9F"/>
    <w:rsid w:val="008D6B9A"/>
    <w:rsid w:val="008E5121"/>
    <w:rsid w:val="008E59B2"/>
    <w:rsid w:val="008F24B1"/>
    <w:rsid w:val="008F2F46"/>
    <w:rsid w:val="008F42F0"/>
    <w:rsid w:val="008F4F48"/>
    <w:rsid w:val="008F6BA1"/>
    <w:rsid w:val="008F770F"/>
    <w:rsid w:val="00900C94"/>
    <w:rsid w:val="0090322B"/>
    <w:rsid w:val="00903E46"/>
    <w:rsid w:val="009041E4"/>
    <w:rsid w:val="0091090C"/>
    <w:rsid w:val="00912315"/>
    <w:rsid w:val="009125E6"/>
    <w:rsid w:val="00917AEF"/>
    <w:rsid w:val="00917B85"/>
    <w:rsid w:val="00923BD8"/>
    <w:rsid w:val="00923BF9"/>
    <w:rsid w:val="009343FA"/>
    <w:rsid w:val="0094198E"/>
    <w:rsid w:val="00941C22"/>
    <w:rsid w:val="00946332"/>
    <w:rsid w:val="00955F2E"/>
    <w:rsid w:val="00961F4A"/>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7578"/>
    <w:rsid w:val="00AA5946"/>
    <w:rsid w:val="00AB466D"/>
    <w:rsid w:val="00AB72BF"/>
    <w:rsid w:val="00AC63A0"/>
    <w:rsid w:val="00AC65D7"/>
    <w:rsid w:val="00AD185F"/>
    <w:rsid w:val="00AD30C0"/>
    <w:rsid w:val="00AD6977"/>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5273"/>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4E17"/>
    <w:rsid w:val="00BC69AA"/>
    <w:rsid w:val="00BD60BB"/>
    <w:rsid w:val="00BE7668"/>
    <w:rsid w:val="00BF195D"/>
    <w:rsid w:val="00BF59E7"/>
    <w:rsid w:val="00BF616C"/>
    <w:rsid w:val="00BF6623"/>
    <w:rsid w:val="00BF78CE"/>
    <w:rsid w:val="00C063F1"/>
    <w:rsid w:val="00C114F4"/>
    <w:rsid w:val="00C11AD2"/>
    <w:rsid w:val="00C11ED9"/>
    <w:rsid w:val="00C144E1"/>
    <w:rsid w:val="00C15AFA"/>
    <w:rsid w:val="00C225E4"/>
    <w:rsid w:val="00C22CB1"/>
    <w:rsid w:val="00C23F98"/>
    <w:rsid w:val="00C2739B"/>
    <w:rsid w:val="00C35E0A"/>
    <w:rsid w:val="00C35E1A"/>
    <w:rsid w:val="00C40AE5"/>
    <w:rsid w:val="00C46298"/>
    <w:rsid w:val="00C476CD"/>
    <w:rsid w:val="00C516F8"/>
    <w:rsid w:val="00C52396"/>
    <w:rsid w:val="00C52C52"/>
    <w:rsid w:val="00C53FD6"/>
    <w:rsid w:val="00C5448B"/>
    <w:rsid w:val="00C5659D"/>
    <w:rsid w:val="00C63412"/>
    <w:rsid w:val="00C711C9"/>
    <w:rsid w:val="00C71E3E"/>
    <w:rsid w:val="00C75155"/>
    <w:rsid w:val="00C75BBB"/>
    <w:rsid w:val="00C824DF"/>
    <w:rsid w:val="00C8401D"/>
    <w:rsid w:val="00C85360"/>
    <w:rsid w:val="00C87640"/>
    <w:rsid w:val="00C93905"/>
    <w:rsid w:val="00CA085C"/>
    <w:rsid w:val="00CA0C34"/>
    <w:rsid w:val="00CA0EF2"/>
    <w:rsid w:val="00CA6340"/>
    <w:rsid w:val="00CB0CF8"/>
    <w:rsid w:val="00CB1AA8"/>
    <w:rsid w:val="00CB2502"/>
    <w:rsid w:val="00CB608F"/>
    <w:rsid w:val="00CB6C0D"/>
    <w:rsid w:val="00CC003C"/>
    <w:rsid w:val="00CC09FA"/>
    <w:rsid w:val="00CC24D5"/>
    <w:rsid w:val="00CD58A9"/>
    <w:rsid w:val="00CD5D14"/>
    <w:rsid w:val="00CE2BA5"/>
    <w:rsid w:val="00CE36F7"/>
    <w:rsid w:val="00CE6D8A"/>
    <w:rsid w:val="00CF049F"/>
    <w:rsid w:val="00CF3528"/>
    <w:rsid w:val="00CF4F92"/>
    <w:rsid w:val="00CF75EC"/>
    <w:rsid w:val="00D00E68"/>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4A10"/>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C2322"/>
    <w:rsid w:val="00DC3855"/>
    <w:rsid w:val="00DD07D5"/>
    <w:rsid w:val="00DD2483"/>
    <w:rsid w:val="00DD325E"/>
    <w:rsid w:val="00DD34A5"/>
    <w:rsid w:val="00DD484B"/>
    <w:rsid w:val="00DE16F1"/>
    <w:rsid w:val="00DE1852"/>
    <w:rsid w:val="00DE1FF8"/>
    <w:rsid w:val="00DE5E33"/>
    <w:rsid w:val="00DE6238"/>
    <w:rsid w:val="00DE677F"/>
    <w:rsid w:val="00DF1106"/>
    <w:rsid w:val="00DF3966"/>
    <w:rsid w:val="00E03674"/>
    <w:rsid w:val="00E067AD"/>
    <w:rsid w:val="00E12E97"/>
    <w:rsid w:val="00E1387A"/>
    <w:rsid w:val="00E204E3"/>
    <w:rsid w:val="00E20B26"/>
    <w:rsid w:val="00E25293"/>
    <w:rsid w:val="00E3243A"/>
    <w:rsid w:val="00E36007"/>
    <w:rsid w:val="00E427DB"/>
    <w:rsid w:val="00E4285E"/>
    <w:rsid w:val="00E45303"/>
    <w:rsid w:val="00E45A93"/>
    <w:rsid w:val="00E55639"/>
    <w:rsid w:val="00E624E2"/>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67E9"/>
    <w:rsid w:val="00ED6B4E"/>
    <w:rsid w:val="00EE2689"/>
    <w:rsid w:val="00EE648A"/>
    <w:rsid w:val="00EE64C4"/>
    <w:rsid w:val="00EF2457"/>
    <w:rsid w:val="00EF4812"/>
    <w:rsid w:val="00F006D7"/>
    <w:rsid w:val="00F0291D"/>
    <w:rsid w:val="00F0795C"/>
    <w:rsid w:val="00F110F6"/>
    <w:rsid w:val="00F22319"/>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16B1"/>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D9C9-232D-4BF2-AE63-85D97F8B4C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2021-11-06T21:24:00Z</dcterms:created>
  <dcterms:modified xsi:type="dcterms:W3CDTF">2021-11-06T21:24:00Z</dcterms:modified>
</cp:coreProperties>
</file>